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10" w:rsidRPr="00B54668" w:rsidRDefault="00340910"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340910" w:rsidRPr="00B54668" w:rsidTr="00FC2C35">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340910" w:rsidRPr="00FC2C35" w:rsidRDefault="00340910" w:rsidP="00FC2C35">
            <w:pPr>
              <w:spacing w:line="240" w:lineRule="auto"/>
              <w:jc w:val="left"/>
              <w:rPr>
                <w:rFonts w:ascii="Candara" w:hAnsi="Candara"/>
                <w:b/>
                <w:sz w:val="36"/>
                <w:szCs w:val="36"/>
              </w:rPr>
            </w:pPr>
            <w:r w:rsidRPr="001B2464">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FC2C35">
              <w:rPr>
                <w:rFonts w:ascii="Candara" w:hAnsi="Candara"/>
                <w:b/>
                <w:sz w:val="36"/>
                <w:szCs w:val="36"/>
              </w:rPr>
              <w:t xml:space="preserve">                         </w:t>
            </w:r>
            <w:smartTag w:uri="urn:schemas-microsoft-com:office:smarttags" w:element="place">
              <w:smartTag w:uri="urn:schemas-microsoft-com:office:smarttags" w:element="PlaceType">
                <w:r w:rsidRPr="00FC2C35">
                  <w:rPr>
                    <w:rFonts w:ascii="Candara" w:hAnsi="Candara"/>
                    <w:b/>
                    <w:sz w:val="36"/>
                    <w:szCs w:val="36"/>
                  </w:rPr>
                  <w:t>UNIVERSITY</w:t>
                </w:r>
              </w:smartTag>
              <w:r w:rsidRPr="00FC2C35">
                <w:rPr>
                  <w:rFonts w:ascii="Candara" w:hAnsi="Candara"/>
                  <w:b/>
                  <w:sz w:val="36"/>
                  <w:szCs w:val="36"/>
                </w:rPr>
                <w:t xml:space="preserve"> OF </w:t>
              </w:r>
              <w:smartTag w:uri="urn:schemas-microsoft-com:office:smarttags" w:element="place">
                <w:r w:rsidRPr="00FC2C35">
                  <w:rPr>
                    <w:rFonts w:ascii="Candara" w:hAnsi="Candara"/>
                    <w:b/>
                    <w:sz w:val="36"/>
                    <w:szCs w:val="36"/>
                  </w:rPr>
                  <w:t>NIŠ</w:t>
                </w:r>
              </w:smartTag>
            </w:smartTag>
          </w:p>
          <w:p w:rsidR="00340910" w:rsidRPr="00FC2C35" w:rsidRDefault="00340910" w:rsidP="00FC2C35">
            <w:pPr>
              <w:spacing w:line="240" w:lineRule="auto"/>
              <w:jc w:val="left"/>
              <w:rPr>
                <w:rFonts w:ascii="Candara" w:hAnsi="Candara"/>
              </w:rPr>
            </w:pPr>
          </w:p>
        </w:tc>
      </w:tr>
      <w:tr w:rsidR="00340910" w:rsidRPr="00B54668" w:rsidTr="00C66764">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340910" w:rsidRPr="00FC2C35" w:rsidRDefault="00340910" w:rsidP="00FC2C35">
            <w:pPr>
              <w:spacing w:line="240" w:lineRule="auto"/>
              <w:contextualSpacing/>
              <w:rPr>
                <w:rFonts w:ascii="Candara" w:hAnsi="Candara"/>
                <w:b/>
                <w:sz w:val="36"/>
                <w:szCs w:val="36"/>
              </w:rPr>
            </w:pPr>
            <w:r w:rsidRPr="00FC2C35">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340910" w:rsidRPr="00FC2C35" w:rsidRDefault="00340910" w:rsidP="00FC2C35">
            <w:pPr>
              <w:spacing w:line="240" w:lineRule="auto"/>
              <w:contextualSpacing/>
              <w:jc w:val="left"/>
              <w:rPr>
                <w:rStyle w:val="CommentReference"/>
                <w:sz w:val="36"/>
                <w:szCs w:val="36"/>
              </w:rPr>
            </w:pPr>
            <w:r w:rsidRPr="00FC2C35">
              <w:rPr>
                <w:rFonts w:ascii="Candara" w:hAnsi="Candara"/>
                <w:b/>
                <w:sz w:val="36"/>
                <w:szCs w:val="36"/>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340910" w:rsidRPr="00B50F9E" w:rsidRDefault="00340910" w:rsidP="00521EFA">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340910" w:rsidRPr="00B54668" w:rsidTr="00FC2C35">
        <w:trPr>
          <w:trHeight w:val="529"/>
        </w:trPr>
        <w:tc>
          <w:tcPr>
            <w:tcW w:w="10440" w:type="dxa"/>
            <w:gridSpan w:val="7"/>
            <w:tcBorders>
              <w:top w:val="double" w:sz="4" w:space="0" w:color="auto"/>
            </w:tcBorders>
            <w:shd w:val="clear" w:color="auto" w:fill="B8CCE4"/>
            <w:vAlign w:val="center"/>
          </w:tcPr>
          <w:p w:rsidR="00340910" w:rsidRPr="00FC2C35" w:rsidRDefault="00340910" w:rsidP="00FC2C35">
            <w:pPr>
              <w:spacing w:line="240" w:lineRule="auto"/>
              <w:contextualSpacing/>
              <w:rPr>
                <w:rFonts w:ascii="Candara" w:hAnsi="Candara"/>
                <w:b/>
              </w:rPr>
            </w:pPr>
            <w:r w:rsidRPr="00FC2C35">
              <w:rPr>
                <w:rFonts w:ascii="Candara" w:hAnsi="Candara"/>
                <w:b/>
              </w:rPr>
              <w:t>GENERAL INFORMATION</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 xml:space="preserve">Study program </w:t>
            </w:r>
          </w:p>
        </w:tc>
        <w:tc>
          <w:tcPr>
            <w:tcW w:w="6054" w:type="dxa"/>
            <w:gridSpan w:val="3"/>
            <w:vAlign w:val="center"/>
          </w:tcPr>
          <w:p w:rsidR="00340910" w:rsidRPr="00EB4A1C" w:rsidRDefault="00340910" w:rsidP="00FC2C35">
            <w:pPr>
              <w:spacing w:line="240" w:lineRule="auto"/>
              <w:contextualSpacing/>
              <w:jc w:val="left"/>
              <w:rPr>
                <w:rFonts w:ascii="Candara" w:hAnsi="Candara"/>
                <w:lang w:val="en-US"/>
              </w:rPr>
            </w:pPr>
            <w:r w:rsidRPr="00EB4A1C">
              <w:rPr>
                <w:rFonts w:ascii="Candara" w:hAnsi="Candara"/>
                <w:lang w:val="en-US"/>
              </w:rPr>
              <w:t>Architecture</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Study Module  (if applicable)</w:t>
            </w:r>
          </w:p>
        </w:tc>
        <w:tc>
          <w:tcPr>
            <w:tcW w:w="6054" w:type="dxa"/>
            <w:gridSpan w:val="3"/>
            <w:vAlign w:val="center"/>
          </w:tcPr>
          <w:p w:rsidR="00340910" w:rsidRPr="00EB4A1C" w:rsidRDefault="00340910" w:rsidP="00FC2C35">
            <w:pPr>
              <w:spacing w:line="240" w:lineRule="auto"/>
              <w:contextualSpacing/>
              <w:jc w:val="left"/>
              <w:rPr>
                <w:rFonts w:ascii="Candara" w:hAnsi="Candara"/>
              </w:rPr>
            </w:pP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Course title</w:t>
            </w:r>
          </w:p>
        </w:tc>
        <w:tc>
          <w:tcPr>
            <w:tcW w:w="6054" w:type="dxa"/>
            <w:gridSpan w:val="3"/>
            <w:vAlign w:val="center"/>
          </w:tcPr>
          <w:p w:rsidR="00340910" w:rsidRPr="00EB4A1C" w:rsidRDefault="00340910" w:rsidP="00FC2C35">
            <w:pPr>
              <w:spacing w:line="240" w:lineRule="auto"/>
              <w:contextualSpacing/>
              <w:jc w:val="left"/>
              <w:rPr>
                <w:rFonts w:ascii="Candara" w:hAnsi="Candara"/>
                <w:lang w:val="en-US"/>
              </w:rPr>
            </w:pPr>
            <w:r w:rsidRPr="00EB4A1C">
              <w:rPr>
                <w:rFonts w:ascii="Candara" w:hAnsi="Candara"/>
                <w:bCs/>
                <w:lang w:val="en-US"/>
              </w:rPr>
              <w:t>STRENGTH OF MATERIALS</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Level of study</w:t>
            </w:r>
          </w:p>
        </w:tc>
        <w:tc>
          <w:tcPr>
            <w:tcW w:w="6054" w:type="dxa"/>
            <w:gridSpan w:val="3"/>
            <w:vAlign w:val="center"/>
          </w:tcPr>
          <w:p w:rsidR="00340910" w:rsidRPr="00EB4A1C" w:rsidRDefault="00340910" w:rsidP="00FC2C35">
            <w:pPr>
              <w:spacing w:line="240" w:lineRule="auto"/>
              <w:contextualSpacing/>
              <w:jc w:val="left"/>
              <w:rPr>
                <w:rFonts w:ascii="Candara" w:hAnsi="Candara"/>
              </w:rPr>
            </w:pPr>
            <w:r w:rsidRPr="00EB4A1C">
              <w:rPr>
                <w:rStyle w:val="shorttext"/>
                <w:rFonts w:ascii="Candara" w:hAnsi="Candara"/>
              </w:rPr>
              <w:t>Integrated studies</w:t>
            </w:r>
            <w:r w:rsidRPr="00EB4A1C">
              <w:rPr>
                <w:rFonts w:ascii="Candara" w:hAnsi="Candara"/>
              </w:rPr>
              <w:t xml:space="preserve">  </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Type of course</w:t>
            </w:r>
          </w:p>
        </w:tc>
        <w:tc>
          <w:tcPr>
            <w:tcW w:w="6054" w:type="dxa"/>
            <w:gridSpan w:val="3"/>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 xml:space="preserve">Obligatory                 </w:t>
            </w:r>
          </w:p>
        </w:tc>
      </w:tr>
      <w:tr w:rsidR="00340910" w:rsidRPr="00B54668" w:rsidTr="00FC2C35">
        <w:trPr>
          <w:trHeight w:val="562"/>
        </w:trPr>
        <w:tc>
          <w:tcPr>
            <w:tcW w:w="4386" w:type="dxa"/>
            <w:gridSpan w:val="4"/>
            <w:vAlign w:val="center"/>
          </w:tcPr>
          <w:p w:rsidR="00340910" w:rsidRPr="00EB4A1C" w:rsidRDefault="00340910" w:rsidP="00FC2C35">
            <w:pPr>
              <w:suppressAutoHyphens w:val="0"/>
              <w:spacing w:after="0" w:line="240" w:lineRule="auto"/>
              <w:contextualSpacing/>
              <w:jc w:val="left"/>
              <w:rPr>
                <w:rFonts w:ascii="Candara" w:hAnsi="Candara" w:cs="Arial"/>
                <w:lang w:val="en-US"/>
              </w:rPr>
            </w:pPr>
            <w:r w:rsidRPr="00EB4A1C">
              <w:rPr>
                <w:rFonts w:ascii="Candara" w:hAnsi="Candara"/>
              </w:rPr>
              <w:t xml:space="preserve">Semester </w:t>
            </w:r>
            <w:r w:rsidRPr="00EB4A1C">
              <w:rPr>
                <w:rFonts w:ascii="Candara" w:hAnsi="Candara" w:cs="Arial"/>
                <w:lang w:val="en-US"/>
              </w:rPr>
              <w:t xml:space="preserve"> </w:t>
            </w:r>
          </w:p>
        </w:tc>
        <w:tc>
          <w:tcPr>
            <w:tcW w:w="6054" w:type="dxa"/>
            <w:gridSpan w:val="3"/>
            <w:vAlign w:val="center"/>
          </w:tcPr>
          <w:p w:rsidR="00340910" w:rsidRPr="00EB4A1C" w:rsidRDefault="00340910" w:rsidP="00FC2C35">
            <w:pPr>
              <w:suppressAutoHyphens w:val="0"/>
              <w:spacing w:after="0" w:line="240" w:lineRule="auto"/>
              <w:contextualSpacing/>
              <w:jc w:val="left"/>
              <w:rPr>
                <w:rFonts w:ascii="Candara" w:hAnsi="Candara" w:cs="Arial"/>
                <w:lang w:val="en-US"/>
              </w:rPr>
            </w:pPr>
            <w:r w:rsidRPr="00EB4A1C">
              <w:rPr>
                <w:rFonts w:ascii="Candara" w:hAnsi="Candara" w:cs="Arial"/>
                <w:lang w:val="en-US"/>
              </w:rPr>
              <w:t xml:space="preserve"> Autumn                     </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 xml:space="preserve">Year of study </w:t>
            </w:r>
          </w:p>
        </w:tc>
        <w:tc>
          <w:tcPr>
            <w:tcW w:w="6054" w:type="dxa"/>
            <w:gridSpan w:val="3"/>
            <w:vAlign w:val="center"/>
          </w:tcPr>
          <w:p w:rsidR="00340910" w:rsidRPr="00EB4A1C" w:rsidRDefault="00340910" w:rsidP="00FC2C35">
            <w:pPr>
              <w:spacing w:line="240" w:lineRule="auto"/>
              <w:contextualSpacing/>
              <w:jc w:val="left"/>
              <w:rPr>
                <w:rFonts w:ascii="Candara" w:hAnsi="Candara"/>
                <w:vertAlign w:val="superscript"/>
              </w:rPr>
            </w:pPr>
            <w:r w:rsidRPr="00EB4A1C">
              <w:rPr>
                <w:rFonts w:ascii="Candara" w:hAnsi="Candara"/>
              </w:rPr>
              <w:t>1</w:t>
            </w:r>
            <w:r w:rsidRPr="00EB4A1C">
              <w:rPr>
                <w:rFonts w:ascii="Candara" w:hAnsi="Candara"/>
                <w:vertAlign w:val="superscript"/>
              </w:rPr>
              <w:t>st</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Number of ECTS allocated</w:t>
            </w:r>
          </w:p>
        </w:tc>
        <w:tc>
          <w:tcPr>
            <w:tcW w:w="6054" w:type="dxa"/>
            <w:gridSpan w:val="3"/>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2</w:t>
            </w:r>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Name of lecturer/lecturers</w:t>
            </w:r>
          </w:p>
        </w:tc>
        <w:tc>
          <w:tcPr>
            <w:tcW w:w="6054" w:type="dxa"/>
            <w:gridSpan w:val="3"/>
            <w:vAlign w:val="center"/>
          </w:tcPr>
          <w:p w:rsidR="00340910" w:rsidRPr="00EB4A1C" w:rsidRDefault="00340910" w:rsidP="00FC2C35">
            <w:pPr>
              <w:spacing w:line="240" w:lineRule="auto"/>
              <w:contextualSpacing/>
              <w:jc w:val="left"/>
              <w:rPr>
                <w:rFonts w:ascii="Candara" w:hAnsi="Candara"/>
              </w:rPr>
            </w:pPr>
            <w:bookmarkStart w:id="0" w:name="_GoBack"/>
            <w:r w:rsidRPr="00EB4A1C">
              <w:rPr>
                <w:rFonts w:ascii="Candara" w:hAnsi="Candara"/>
                <w:lang w:val="en-US"/>
              </w:rPr>
              <w:t>Marina Mijalkovi</w:t>
            </w:r>
            <w:r w:rsidRPr="00EB4A1C">
              <w:rPr>
                <w:rFonts w:ascii="Candara" w:hAnsi="Candara"/>
              </w:rPr>
              <w:t>ć</w:t>
            </w:r>
            <w:bookmarkEnd w:id="0"/>
          </w:p>
        </w:tc>
      </w:tr>
      <w:tr w:rsidR="00340910" w:rsidRPr="00B54668" w:rsidTr="00FC2C35">
        <w:trPr>
          <w:trHeight w:val="562"/>
        </w:trPr>
        <w:tc>
          <w:tcPr>
            <w:tcW w:w="4386" w:type="dxa"/>
            <w:gridSpan w:val="4"/>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Teaching mode</w:t>
            </w:r>
          </w:p>
        </w:tc>
        <w:tc>
          <w:tcPr>
            <w:tcW w:w="6054" w:type="dxa"/>
            <w:gridSpan w:val="3"/>
            <w:vAlign w:val="center"/>
          </w:tcPr>
          <w:p w:rsidR="00340910" w:rsidRPr="00EB4A1C" w:rsidRDefault="00340910" w:rsidP="00FC2C35">
            <w:pPr>
              <w:spacing w:line="240" w:lineRule="auto"/>
              <w:contextualSpacing/>
              <w:jc w:val="left"/>
              <w:rPr>
                <w:rFonts w:ascii="Candara" w:hAnsi="Candara"/>
              </w:rPr>
            </w:pPr>
            <w:r w:rsidRPr="00EB4A1C">
              <w:rPr>
                <w:rFonts w:ascii="Candara" w:hAnsi="Candara"/>
              </w:rPr>
              <w:t xml:space="preserve"> Lectures,  Group tutorials,  Individual tutorials</w:t>
            </w:r>
          </w:p>
        </w:tc>
      </w:tr>
      <w:tr w:rsidR="00340910" w:rsidRPr="00B54668" w:rsidTr="00FC2C35">
        <w:trPr>
          <w:trHeight w:val="562"/>
        </w:trPr>
        <w:tc>
          <w:tcPr>
            <w:tcW w:w="10440" w:type="dxa"/>
            <w:gridSpan w:val="7"/>
            <w:shd w:val="clear" w:color="auto" w:fill="B8CCE4"/>
            <w:vAlign w:val="center"/>
          </w:tcPr>
          <w:p w:rsidR="00340910" w:rsidRPr="00FC2C35" w:rsidRDefault="00340910" w:rsidP="00FC2C35">
            <w:pPr>
              <w:spacing w:line="240" w:lineRule="auto"/>
              <w:contextualSpacing/>
              <w:jc w:val="left"/>
              <w:rPr>
                <w:rFonts w:ascii="Candara" w:hAnsi="Candara"/>
                <w:b/>
              </w:rPr>
            </w:pPr>
            <w:r w:rsidRPr="00FC2C35">
              <w:rPr>
                <w:rFonts w:ascii="Candara" w:hAnsi="Candara"/>
                <w:b/>
              </w:rPr>
              <w:t xml:space="preserve">PURPOSE AND OVERVIEW </w:t>
            </w:r>
          </w:p>
        </w:tc>
      </w:tr>
      <w:tr w:rsidR="00340910" w:rsidRPr="006645E7" w:rsidTr="00FC2C35">
        <w:trPr>
          <w:trHeight w:val="562"/>
        </w:trPr>
        <w:tc>
          <w:tcPr>
            <w:tcW w:w="10440" w:type="dxa"/>
            <w:gridSpan w:val="7"/>
            <w:vAlign w:val="center"/>
          </w:tcPr>
          <w:p w:rsidR="00340910" w:rsidRPr="00FC2C35" w:rsidRDefault="00340910" w:rsidP="00FC2C35">
            <w:pPr>
              <w:spacing w:line="240" w:lineRule="auto"/>
              <w:contextualSpacing/>
              <w:jc w:val="left"/>
              <w:rPr>
                <w:rFonts w:ascii="Candara" w:hAnsi="Candara"/>
                <w:iCs/>
                <w:lang w:val="en-US"/>
              </w:rPr>
            </w:pPr>
            <w:r w:rsidRPr="00FC2C35">
              <w:rPr>
                <w:rFonts w:ascii="Candara" w:hAnsi="Candara"/>
                <w:bCs/>
                <w:iCs/>
                <w:lang w:val="en-US"/>
              </w:rPr>
              <w:t>Determining the state of stress and strain in a strained body, primarily the beam systems. Preparation for the design of girders with understanding the bearing system for the purpose of their further shaping. The acquired knowledge is the base for successful monitoring of the teaching and application in the courses that are the foundation for static and deformational design of structures.</w:t>
            </w:r>
          </w:p>
        </w:tc>
      </w:tr>
      <w:tr w:rsidR="00340910" w:rsidRPr="00B54668" w:rsidTr="00FC2C35">
        <w:trPr>
          <w:trHeight w:val="562"/>
        </w:trPr>
        <w:tc>
          <w:tcPr>
            <w:tcW w:w="10440" w:type="dxa"/>
            <w:gridSpan w:val="7"/>
            <w:shd w:val="clear" w:color="auto" w:fill="B8CCE4"/>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 xml:space="preserve">SYLLABUS </w:t>
            </w:r>
          </w:p>
        </w:tc>
      </w:tr>
      <w:tr w:rsidR="00340910" w:rsidRPr="00AC486F" w:rsidTr="00FC2C35">
        <w:trPr>
          <w:trHeight w:val="562"/>
        </w:trPr>
        <w:tc>
          <w:tcPr>
            <w:tcW w:w="10440" w:type="dxa"/>
            <w:gridSpan w:val="7"/>
            <w:vAlign w:val="center"/>
          </w:tcPr>
          <w:p w:rsidR="00340910" w:rsidRPr="00FC2C35" w:rsidRDefault="00340910" w:rsidP="00FC2C35">
            <w:pPr>
              <w:tabs>
                <w:tab w:val="left" w:pos="360"/>
              </w:tabs>
              <w:spacing w:after="0" w:line="240" w:lineRule="auto"/>
              <w:jc w:val="left"/>
              <w:rPr>
                <w:rFonts w:ascii="Candara" w:hAnsi="Candara"/>
                <w:bCs/>
                <w:lang w:val="en-US"/>
              </w:rPr>
            </w:pPr>
            <w:r w:rsidRPr="00FC2C35">
              <w:rPr>
                <w:rFonts w:ascii="Candara" w:hAnsi="Candara"/>
                <w:bCs/>
                <w:lang w:val="en-US"/>
              </w:rPr>
              <w:t>Geometrical characteristics of the plane surfaces: moments of inertia, Steiner's theorem, the principal moments of inertia and the principal axes, ellipse of inertia.</w:t>
            </w:r>
          </w:p>
          <w:p w:rsidR="00340910" w:rsidRPr="00FC2C35" w:rsidRDefault="00340910" w:rsidP="00FC2C35">
            <w:pPr>
              <w:tabs>
                <w:tab w:val="left" w:pos="360"/>
              </w:tabs>
              <w:spacing w:after="0" w:line="240" w:lineRule="auto"/>
              <w:jc w:val="left"/>
              <w:rPr>
                <w:rFonts w:ascii="Candara" w:hAnsi="Candara"/>
                <w:bCs/>
                <w:lang w:val="en-US"/>
              </w:rPr>
            </w:pPr>
            <w:r w:rsidRPr="00FC2C35">
              <w:rPr>
                <w:rFonts w:ascii="Candara" w:hAnsi="Candara"/>
                <w:bCs/>
                <w:lang w:val="en-US"/>
              </w:rPr>
              <w:t>Stress analysis: the concept of total, normal and shear stress, the fundamental theorem of the stress analysis, the conjugated shear stress theorem.</w:t>
            </w:r>
          </w:p>
          <w:p w:rsidR="00340910" w:rsidRPr="00FC2C35" w:rsidRDefault="00340910" w:rsidP="00FC2C35">
            <w:pPr>
              <w:tabs>
                <w:tab w:val="left" w:pos="360"/>
              </w:tabs>
              <w:spacing w:after="0" w:line="240" w:lineRule="auto"/>
              <w:jc w:val="left"/>
              <w:rPr>
                <w:rFonts w:ascii="Candara" w:hAnsi="Candara"/>
                <w:bCs/>
                <w:lang w:val="en-US"/>
              </w:rPr>
            </w:pPr>
            <w:r w:rsidRPr="00FC2C35">
              <w:rPr>
                <w:rFonts w:ascii="Candara" w:hAnsi="Candara"/>
                <w:bCs/>
                <w:lang w:val="en-US"/>
              </w:rPr>
              <w:t>Cross-sectional forces: a bar in 3D space and a bar in the plane, calculation of the internal cross/sectional forces, differential relations between the p, Q and M (distributed load, shear force and bending moment).</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The general case of the plane stress: stress in the inclined plane, the principal stresses, Mohr's circle of stress.</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Deformation analysis: axial and shear strain.</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Axial loading: stress and strain, Hooke's law and Poisson's law, Mohr's circle of stress.</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Pure bending: stress and strain, extremal axial stress values, Mohr's circle.</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Bending with shear: calculation of shear stress, component stresses, the principal stresses, Mohr's circle.</w:t>
            </w:r>
          </w:p>
          <w:p w:rsidR="00340910" w:rsidRPr="00FC2C35" w:rsidRDefault="00340910" w:rsidP="00FC2C35">
            <w:pPr>
              <w:tabs>
                <w:tab w:val="left" w:pos="360"/>
              </w:tabs>
              <w:spacing w:after="0" w:line="240" w:lineRule="auto"/>
              <w:ind w:left="360" w:hanging="360"/>
              <w:jc w:val="left"/>
              <w:rPr>
                <w:rFonts w:ascii="Candara" w:hAnsi="Candara"/>
                <w:bCs/>
                <w:lang w:val="en-US"/>
              </w:rPr>
            </w:pPr>
            <w:r w:rsidRPr="00FC2C35">
              <w:rPr>
                <w:rFonts w:ascii="Candara" w:hAnsi="Candara"/>
                <w:bCs/>
                <w:lang w:val="en-US"/>
              </w:rPr>
              <w:t>Torsion of a cylindrical shaft.</w:t>
            </w:r>
          </w:p>
          <w:p w:rsidR="00340910" w:rsidRPr="00FC2C35" w:rsidRDefault="00340910" w:rsidP="00FC2C35">
            <w:pPr>
              <w:tabs>
                <w:tab w:val="left" w:pos="360"/>
              </w:tabs>
              <w:spacing w:after="0" w:line="240" w:lineRule="auto"/>
              <w:ind w:left="360" w:hanging="360"/>
              <w:jc w:val="left"/>
              <w:rPr>
                <w:rFonts w:ascii="Candara" w:hAnsi="Candara"/>
                <w:b/>
                <w:lang w:val="en-US"/>
              </w:rPr>
            </w:pPr>
            <w:r w:rsidRPr="00FC2C35">
              <w:rPr>
                <w:rFonts w:ascii="Candara" w:hAnsi="Candara"/>
                <w:bCs/>
                <w:lang w:val="en-US"/>
              </w:rPr>
              <w:t>Buckling of compressed bars: Euler's buckling cases, critical buckling stress.</w:t>
            </w:r>
            <w:r w:rsidRPr="00FC2C35">
              <w:rPr>
                <w:rFonts w:ascii="Candara" w:hAnsi="Candara"/>
                <w:b/>
                <w:lang w:val="en-US"/>
              </w:rPr>
              <w:t xml:space="preserve"> </w:t>
            </w:r>
          </w:p>
        </w:tc>
      </w:tr>
      <w:tr w:rsidR="00340910" w:rsidRPr="00B54668" w:rsidTr="00FC2C35">
        <w:trPr>
          <w:trHeight w:val="562"/>
        </w:trPr>
        <w:tc>
          <w:tcPr>
            <w:tcW w:w="10440" w:type="dxa"/>
            <w:gridSpan w:val="7"/>
            <w:shd w:val="clear" w:color="auto" w:fill="B8CCE4"/>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LANGUAGE OF INSTRUCTION</w:t>
            </w:r>
          </w:p>
        </w:tc>
      </w:tr>
      <w:tr w:rsidR="00340910" w:rsidRPr="00B54668" w:rsidTr="00FC2C35">
        <w:trPr>
          <w:trHeight w:val="562"/>
        </w:trPr>
        <w:tc>
          <w:tcPr>
            <w:tcW w:w="10440" w:type="dxa"/>
            <w:gridSpan w:val="7"/>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rPr>
              <w:t xml:space="preserve">Serbian  (complete course) </w:t>
            </w:r>
          </w:p>
        </w:tc>
      </w:tr>
      <w:tr w:rsidR="00340910" w:rsidRPr="00B54668" w:rsidTr="00FC2C35">
        <w:trPr>
          <w:trHeight w:val="562"/>
        </w:trPr>
        <w:tc>
          <w:tcPr>
            <w:tcW w:w="10440" w:type="dxa"/>
            <w:gridSpan w:val="7"/>
            <w:shd w:val="clear" w:color="auto" w:fill="B8CCE4"/>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ASSESSMENT METHODS AND CRITERIA</w:t>
            </w:r>
          </w:p>
        </w:tc>
      </w:tr>
      <w:tr w:rsidR="00340910" w:rsidRPr="00B54668" w:rsidTr="00FC2C35">
        <w:trPr>
          <w:trHeight w:val="562"/>
        </w:trPr>
        <w:tc>
          <w:tcPr>
            <w:tcW w:w="255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Pre exam duties</w:t>
            </w:r>
          </w:p>
        </w:tc>
        <w:tc>
          <w:tcPr>
            <w:tcW w:w="1575" w:type="dxa"/>
            <w:gridSpan w:val="2"/>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Points</w:t>
            </w:r>
          </w:p>
        </w:tc>
        <w:tc>
          <w:tcPr>
            <w:tcW w:w="3255" w:type="dxa"/>
            <w:gridSpan w:val="3"/>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Final exam</w:t>
            </w:r>
          </w:p>
        </w:tc>
        <w:tc>
          <w:tcPr>
            <w:tcW w:w="306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points</w:t>
            </w:r>
          </w:p>
        </w:tc>
      </w:tr>
      <w:tr w:rsidR="00340910" w:rsidRPr="00B54668" w:rsidTr="00FC2C35">
        <w:trPr>
          <w:trHeight w:val="562"/>
        </w:trPr>
        <w:tc>
          <w:tcPr>
            <w:tcW w:w="255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Activity during lectures</w:t>
            </w:r>
          </w:p>
        </w:tc>
        <w:tc>
          <w:tcPr>
            <w:tcW w:w="1575" w:type="dxa"/>
            <w:gridSpan w:val="2"/>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10</w:t>
            </w:r>
          </w:p>
        </w:tc>
        <w:tc>
          <w:tcPr>
            <w:tcW w:w="3255" w:type="dxa"/>
            <w:gridSpan w:val="3"/>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Written examination</w:t>
            </w:r>
          </w:p>
        </w:tc>
        <w:tc>
          <w:tcPr>
            <w:tcW w:w="306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30</w:t>
            </w:r>
          </w:p>
        </w:tc>
      </w:tr>
      <w:tr w:rsidR="00340910" w:rsidRPr="00B54668" w:rsidTr="00FC2C35">
        <w:trPr>
          <w:trHeight w:val="562"/>
        </w:trPr>
        <w:tc>
          <w:tcPr>
            <w:tcW w:w="255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Practical teaching</w:t>
            </w:r>
          </w:p>
        </w:tc>
        <w:tc>
          <w:tcPr>
            <w:tcW w:w="1575" w:type="dxa"/>
            <w:gridSpan w:val="2"/>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15</w:t>
            </w:r>
          </w:p>
        </w:tc>
        <w:tc>
          <w:tcPr>
            <w:tcW w:w="3255" w:type="dxa"/>
            <w:gridSpan w:val="3"/>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Oral examination</w:t>
            </w:r>
          </w:p>
        </w:tc>
        <w:tc>
          <w:tcPr>
            <w:tcW w:w="306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35</w:t>
            </w:r>
          </w:p>
        </w:tc>
      </w:tr>
      <w:tr w:rsidR="00340910" w:rsidRPr="00B54668" w:rsidTr="00FC2C35">
        <w:trPr>
          <w:trHeight w:val="562"/>
        </w:trPr>
        <w:tc>
          <w:tcPr>
            <w:tcW w:w="255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Teaching colloquia</w:t>
            </w:r>
          </w:p>
        </w:tc>
        <w:tc>
          <w:tcPr>
            <w:tcW w:w="1575" w:type="dxa"/>
            <w:gridSpan w:val="2"/>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10</w:t>
            </w:r>
          </w:p>
        </w:tc>
        <w:tc>
          <w:tcPr>
            <w:tcW w:w="3255" w:type="dxa"/>
            <w:gridSpan w:val="3"/>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OVERALL SUM</w:t>
            </w:r>
          </w:p>
        </w:tc>
        <w:tc>
          <w:tcPr>
            <w:tcW w:w="3060" w:type="dxa"/>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100</w:t>
            </w:r>
          </w:p>
        </w:tc>
      </w:tr>
      <w:tr w:rsidR="00340910" w:rsidRPr="00B54668" w:rsidTr="00FC2C35">
        <w:trPr>
          <w:trHeight w:val="562"/>
        </w:trPr>
        <w:tc>
          <w:tcPr>
            <w:tcW w:w="10440" w:type="dxa"/>
            <w:gridSpan w:val="7"/>
            <w:vAlign w:val="center"/>
          </w:tcPr>
          <w:p w:rsidR="00340910" w:rsidRPr="00FC2C35" w:rsidRDefault="00340910" w:rsidP="00FC2C35">
            <w:pPr>
              <w:tabs>
                <w:tab w:val="left" w:pos="360"/>
              </w:tabs>
              <w:spacing w:after="0" w:line="240" w:lineRule="auto"/>
              <w:jc w:val="left"/>
              <w:rPr>
                <w:rFonts w:ascii="Candara" w:hAnsi="Candara"/>
                <w:b/>
              </w:rPr>
            </w:pPr>
            <w:r w:rsidRPr="00FC2C35">
              <w:rPr>
                <w:rFonts w:ascii="Candara" w:hAnsi="Candara"/>
                <w:b/>
              </w:rPr>
              <w:t>*Final examination mark is formed in accordance with the Institutional documents</w:t>
            </w:r>
          </w:p>
        </w:tc>
      </w:tr>
    </w:tbl>
    <w:p w:rsidR="00340910" w:rsidRDefault="00340910" w:rsidP="00E71A0B">
      <w:pPr>
        <w:ind w:left="1089"/>
      </w:pPr>
    </w:p>
    <w:p w:rsidR="00340910" w:rsidRDefault="00340910" w:rsidP="00E71A0B">
      <w:pPr>
        <w:ind w:left="1089"/>
      </w:pPr>
    </w:p>
    <w:p w:rsidR="00340910" w:rsidRDefault="00340910" w:rsidP="00E71A0B">
      <w:pPr>
        <w:ind w:left="1089"/>
      </w:pPr>
    </w:p>
    <w:sectPr w:rsidR="00340910"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910" w:rsidRDefault="00340910" w:rsidP="00864926">
      <w:pPr>
        <w:spacing w:after="0" w:line="240" w:lineRule="auto"/>
      </w:pPr>
      <w:r>
        <w:separator/>
      </w:r>
    </w:p>
  </w:endnote>
  <w:endnote w:type="continuationSeparator" w:id="0">
    <w:p w:rsidR="00340910" w:rsidRDefault="00340910"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910" w:rsidRDefault="00340910" w:rsidP="00864926">
      <w:pPr>
        <w:spacing w:after="0" w:line="240" w:lineRule="auto"/>
      </w:pPr>
      <w:r>
        <w:separator/>
      </w:r>
    </w:p>
  </w:footnote>
  <w:footnote w:type="continuationSeparator" w:id="0">
    <w:p w:rsidR="00340910" w:rsidRDefault="00340910"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1">
    <w:nsid w:val="063D11D3"/>
    <w:multiLevelType w:val="hybridMultilevel"/>
    <w:tmpl w:val="F6FA782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5B5F056F"/>
    <w:multiLevelType w:val="hybridMultilevel"/>
    <w:tmpl w:val="4C167B26"/>
    <w:lvl w:ilvl="0" w:tplc="0409000F">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678A6"/>
    <w:rsid w:val="000C4B45"/>
    <w:rsid w:val="000F6001"/>
    <w:rsid w:val="0011320F"/>
    <w:rsid w:val="00141F31"/>
    <w:rsid w:val="00145E76"/>
    <w:rsid w:val="00193374"/>
    <w:rsid w:val="001B2464"/>
    <w:rsid w:val="001C1D6A"/>
    <w:rsid w:val="001D3BF1"/>
    <w:rsid w:val="001D64D3"/>
    <w:rsid w:val="001F14FA"/>
    <w:rsid w:val="001F60E3"/>
    <w:rsid w:val="002319B6"/>
    <w:rsid w:val="002F3FA4"/>
    <w:rsid w:val="00315601"/>
    <w:rsid w:val="00323176"/>
    <w:rsid w:val="00340910"/>
    <w:rsid w:val="00375345"/>
    <w:rsid w:val="003B32A9"/>
    <w:rsid w:val="003C177A"/>
    <w:rsid w:val="00406F80"/>
    <w:rsid w:val="00431EFA"/>
    <w:rsid w:val="004805C3"/>
    <w:rsid w:val="004867A1"/>
    <w:rsid w:val="00493925"/>
    <w:rsid w:val="004D1C7E"/>
    <w:rsid w:val="004E562D"/>
    <w:rsid w:val="005161D5"/>
    <w:rsid w:val="00521EFA"/>
    <w:rsid w:val="005605C8"/>
    <w:rsid w:val="005A5D38"/>
    <w:rsid w:val="005B0885"/>
    <w:rsid w:val="005B64BF"/>
    <w:rsid w:val="005D46D7"/>
    <w:rsid w:val="00603117"/>
    <w:rsid w:val="006645E7"/>
    <w:rsid w:val="0069043C"/>
    <w:rsid w:val="006A185D"/>
    <w:rsid w:val="006C05A4"/>
    <w:rsid w:val="006E40AE"/>
    <w:rsid w:val="006F647C"/>
    <w:rsid w:val="00750F82"/>
    <w:rsid w:val="00780F3C"/>
    <w:rsid w:val="00783C57"/>
    <w:rsid w:val="00792CB4"/>
    <w:rsid w:val="00864926"/>
    <w:rsid w:val="008A30CE"/>
    <w:rsid w:val="008B1D6B"/>
    <w:rsid w:val="008C31B7"/>
    <w:rsid w:val="008C5D43"/>
    <w:rsid w:val="008D2806"/>
    <w:rsid w:val="00911529"/>
    <w:rsid w:val="00932B21"/>
    <w:rsid w:val="0095217F"/>
    <w:rsid w:val="00972302"/>
    <w:rsid w:val="009906EA"/>
    <w:rsid w:val="009D3F5E"/>
    <w:rsid w:val="009F3F9F"/>
    <w:rsid w:val="00A10286"/>
    <w:rsid w:val="00A1335D"/>
    <w:rsid w:val="00AC486F"/>
    <w:rsid w:val="00AF47A6"/>
    <w:rsid w:val="00B338E4"/>
    <w:rsid w:val="00B37DB7"/>
    <w:rsid w:val="00B50491"/>
    <w:rsid w:val="00B50F9E"/>
    <w:rsid w:val="00B54668"/>
    <w:rsid w:val="00B9521A"/>
    <w:rsid w:val="00BD3504"/>
    <w:rsid w:val="00C63234"/>
    <w:rsid w:val="00C66764"/>
    <w:rsid w:val="00CA6D81"/>
    <w:rsid w:val="00CC23C3"/>
    <w:rsid w:val="00CD17F1"/>
    <w:rsid w:val="00D53C4B"/>
    <w:rsid w:val="00D655F7"/>
    <w:rsid w:val="00D7743F"/>
    <w:rsid w:val="00D92F39"/>
    <w:rsid w:val="00DA16C4"/>
    <w:rsid w:val="00DB43CC"/>
    <w:rsid w:val="00E0310F"/>
    <w:rsid w:val="00E1222F"/>
    <w:rsid w:val="00E47B95"/>
    <w:rsid w:val="00E5013A"/>
    <w:rsid w:val="00E60599"/>
    <w:rsid w:val="00E71A0B"/>
    <w:rsid w:val="00E8188A"/>
    <w:rsid w:val="00E857F8"/>
    <w:rsid w:val="00EA7E0C"/>
    <w:rsid w:val="00EB4A1C"/>
    <w:rsid w:val="00EC53EE"/>
    <w:rsid w:val="00F06AFA"/>
    <w:rsid w:val="00F2166E"/>
    <w:rsid w:val="00F227E2"/>
    <w:rsid w:val="00F237EB"/>
    <w:rsid w:val="00F56373"/>
    <w:rsid w:val="00F742D3"/>
    <w:rsid w:val="00FC2C35"/>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cs="Times New Roman"/>
      <w:sz w:val="20"/>
      <w:szCs w:val="20"/>
      <w:lang w:val="en-GB"/>
    </w:rPr>
  </w:style>
  <w:style w:type="character" w:styleId="Hyperlink">
    <w:name w:val="Hyperlink"/>
    <w:basedOn w:val="DefaultParagraphFont"/>
    <w:uiPriority w:val="99"/>
    <w:rsid w:val="006645E7"/>
    <w:rPr>
      <w:rFonts w:cs="Times New Roman"/>
      <w:color w:val="0000FF"/>
      <w:u w:val="single"/>
    </w:rPr>
  </w:style>
  <w:style w:type="paragraph" w:styleId="ListParagraph">
    <w:name w:val="List Paragraph"/>
    <w:basedOn w:val="Normal"/>
    <w:uiPriority w:val="99"/>
    <w:qFormat/>
    <w:rsid w:val="00AC486F"/>
    <w:pPr>
      <w:ind w:left="720"/>
      <w:contextualSpacing/>
    </w:pPr>
  </w:style>
  <w:style w:type="character" w:customStyle="1" w:styleId="shorttext">
    <w:name w:val="short_text"/>
    <w:basedOn w:val="DefaultParagraphFont"/>
    <w:uiPriority w:val="99"/>
    <w:rsid w:val="00F227E2"/>
    <w:rPr>
      <w:rFonts w:cs="Times New Roman"/>
    </w:rPr>
  </w:style>
</w:styles>
</file>

<file path=word/webSettings.xml><?xml version="1.0" encoding="utf-8"?>
<w:webSettings xmlns:r="http://schemas.openxmlformats.org/officeDocument/2006/relationships" xmlns:w="http://schemas.openxmlformats.org/wordprocessingml/2006/main">
  <w:divs>
    <w:div w:id="1396050175">
      <w:marLeft w:val="0"/>
      <w:marRight w:val="0"/>
      <w:marTop w:val="0"/>
      <w:marBottom w:val="0"/>
      <w:divBdr>
        <w:top w:val="none" w:sz="0" w:space="0" w:color="auto"/>
        <w:left w:val="none" w:sz="0" w:space="0" w:color="auto"/>
        <w:bottom w:val="none" w:sz="0" w:space="0" w:color="auto"/>
        <w:right w:val="none" w:sz="0" w:space="0" w:color="auto"/>
      </w:divBdr>
      <w:divsChild>
        <w:div w:id="1396050173">
          <w:marLeft w:val="0"/>
          <w:marRight w:val="0"/>
          <w:marTop w:val="0"/>
          <w:marBottom w:val="0"/>
          <w:divBdr>
            <w:top w:val="none" w:sz="0" w:space="0" w:color="auto"/>
            <w:left w:val="none" w:sz="0" w:space="0" w:color="auto"/>
            <w:bottom w:val="none" w:sz="0" w:space="0" w:color="auto"/>
            <w:right w:val="none" w:sz="0" w:space="0" w:color="auto"/>
          </w:divBdr>
        </w:div>
        <w:div w:id="139605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355</Words>
  <Characters>2029</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8</cp:revision>
  <cp:lastPrinted>2015-12-23T11:47:00Z</cp:lastPrinted>
  <dcterms:created xsi:type="dcterms:W3CDTF">2016-04-25T14:46:00Z</dcterms:created>
  <dcterms:modified xsi:type="dcterms:W3CDTF">2016-05-10T19:33:00Z</dcterms:modified>
</cp:coreProperties>
</file>