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4D" w:rsidRPr="00F25682" w:rsidRDefault="004C3F9A" w:rsidP="00F25682">
      <w:pPr>
        <w:jc w:val="center"/>
        <w:rPr>
          <w:bCs/>
          <w:lang w:val="en-GB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E222BB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0D3E88">
              <w:rPr>
                <w:b/>
                <w:bCs/>
                <w:sz w:val="20"/>
                <w:szCs w:val="20"/>
                <w:lang w:val="sr-Cyrl-CS"/>
              </w:rPr>
              <w:t xml:space="preserve">ОАС  </w:t>
            </w:r>
            <w:r w:rsidR="00E222BB">
              <w:rPr>
                <w:b/>
                <w:bCs/>
                <w:sz w:val="20"/>
                <w:szCs w:val="20"/>
              </w:rPr>
              <w:t>ГРАЂЕВИНАРСТВО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Pr="00A0662F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0"/>
                <w:szCs w:val="20"/>
              </w:rPr>
              <w:t xml:space="preserve">Грађевинске конструкције </w:t>
            </w:r>
            <w:r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3E238C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A0662F">
              <w:rPr>
                <w:b/>
                <w:bCs/>
                <w:sz w:val="20"/>
                <w:szCs w:val="20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 w:rsidRPr="00A0662F"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3E238C" w:rsidRPr="003E238C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r w:rsidR="003E238C" w:rsidRPr="003E238C">
              <w:rPr>
                <w:b/>
                <w:bCs/>
                <w:sz w:val="20"/>
                <w:szCs w:val="20"/>
              </w:rPr>
              <w:t xml:space="preserve">, </w:t>
            </w:r>
            <w:hyperlink r:id="rId10" w:history="1">
              <w:r w:rsidR="003E238C" w:rsidRPr="003E238C">
                <w:rPr>
                  <w:rStyle w:val="Hyperlink"/>
                  <w:b/>
                  <w:bCs/>
                  <w:sz w:val="20"/>
                  <w:szCs w:val="20"/>
                </w:rPr>
                <w:t>Јелена Савић</w:t>
              </w:r>
            </w:hyperlink>
            <w:bookmarkStart w:id="0" w:name="_GoBack"/>
            <w:bookmarkEnd w:id="0"/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Обавезни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sz w:val="20"/>
                <w:szCs w:val="20"/>
              </w:rPr>
              <w:t>Грађевински материјали I, Нацртна геометрија, Грађевинске конструкције I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 w:rsidRPr="00A0662F">
              <w:rPr>
                <w:sz w:val="20"/>
                <w:szCs w:val="20"/>
              </w:rPr>
              <w:t>Стицање знања о грађевинским конструкцијама, као и конструкцијама са наменом заштите и остваривања комфора у згради.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Стицање знања о грађевинским конструкцијама намењеним заштити и повећању комфора у објектима зградарства у циљу оспособљавања за пројектовање и извожење ових конструкција и праћења осталих курсева..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8E2A4D" w:rsidRDefault="004C3F9A" w:rsidP="00F25682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настава:(2+0)</w:t>
            </w:r>
            <w:r>
              <w:rPr>
                <w:sz w:val="20"/>
                <w:szCs w:val="20"/>
              </w:rPr>
              <w:t>.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Утицаји на зграду, последице, заштита</w:t>
            </w:r>
            <w:r>
              <w:rPr>
                <w:i/>
                <w:iCs/>
                <w:sz w:val="20"/>
                <w:szCs w:val="20"/>
              </w:rPr>
              <w:t xml:space="preserve"> - 2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Сложени дрвени кровови, столице, вешаљке и комбинација - 4 часова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Покривање и одводњавање косих кровова</w:t>
            </w:r>
            <w:r>
              <w:rPr>
                <w:i/>
                <w:iCs/>
                <w:sz w:val="20"/>
                <w:szCs w:val="20"/>
              </w:rPr>
              <w:t xml:space="preserve"> - 4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Скелетни системи зграда, међуспратне конструкције за веће распоне, темељне конструкције - 4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Равни кровови, пројектовање и извођење</w:t>
            </w:r>
            <w:r>
              <w:rPr>
                <w:i/>
                <w:iCs/>
                <w:sz w:val="20"/>
                <w:szCs w:val="20"/>
              </w:rPr>
              <w:t xml:space="preserve"> - 4 часова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Дилатационе разделнице -2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Заштита од влаге и подземних вода</w:t>
            </w:r>
            <w:r>
              <w:rPr>
                <w:i/>
                <w:iCs/>
                <w:sz w:val="20"/>
                <w:szCs w:val="20"/>
              </w:rPr>
              <w:t xml:space="preserve"> - 4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Подови на тлу и на међуспратним конструкцијама</w:t>
            </w:r>
            <w:r>
              <w:rPr>
                <w:i/>
                <w:iCs/>
                <w:sz w:val="20"/>
                <w:szCs w:val="20"/>
              </w:rPr>
              <w:t xml:space="preserve"> - 4 часа</w:t>
            </w:r>
          </w:p>
          <w:p w:rsidR="008E2A4D" w:rsidRDefault="004C3F9A" w:rsidP="00F25682">
            <w:pPr>
              <w:numPr>
                <w:ilvl w:val="0"/>
                <w:numId w:val="1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Плафони</w:t>
            </w:r>
            <w:r>
              <w:rPr>
                <w:i/>
                <w:iCs/>
                <w:sz w:val="20"/>
                <w:szCs w:val="20"/>
              </w:rPr>
              <w:t xml:space="preserve"> - 2 часа</w:t>
            </w:r>
          </w:p>
          <w:p w:rsidR="008E2A4D" w:rsidRDefault="004C3F9A" w:rsidP="00F25682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Практична настава: </w:t>
            </w:r>
            <w:r>
              <w:rPr>
                <w:bCs/>
                <w:i/>
                <w:sz w:val="20"/>
                <w:szCs w:val="20"/>
              </w:rPr>
              <w:t>Вежбе (0+3)</w:t>
            </w:r>
          </w:p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iCs/>
                <w:sz w:val="20"/>
                <w:szCs w:val="20"/>
              </w:rPr>
              <w:t>Gрафичких цртежи: 1. Кровови (12 часова), 2.  Хидроизолације подземних просторија и кровова и дилатационе разделнице (12 часова), 3. Темељне и међуспратне конструкције (12 часова), 4. Подови и плафони (</w:t>
            </w:r>
            <w:r>
              <w:rPr>
                <w:iCs/>
                <w:sz w:val="20"/>
                <w:szCs w:val="20"/>
                <w:lang w:val="en-US"/>
              </w:rPr>
              <w:t>9</w:t>
            </w:r>
            <w:r>
              <w:rPr>
                <w:iCs/>
                <w:sz w:val="20"/>
                <w:szCs w:val="20"/>
              </w:rPr>
              <w:t xml:space="preserve"> часова)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8E2A4D" w:rsidRDefault="004C3F9A" w:rsidP="00F25682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 Трбојевић</w:t>
            </w:r>
            <w:r>
              <w:rPr>
                <w:bCs/>
                <w:color w:val="000000"/>
                <w:sz w:val="20"/>
                <w:szCs w:val="20"/>
              </w:rPr>
              <w:t>, Архитектонске конструкције, Орион-арт, Београд, 2006;</w:t>
            </w:r>
          </w:p>
          <w:p w:rsidR="008E2A4D" w:rsidRDefault="004C3F9A" w:rsidP="00F25682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М. Петровић, Архитектонске конструкције II, Орион-арт, Београд, 2006;</w:t>
            </w:r>
          </w:p>
          <w:p w:rsidR="008E2A4D" w:rsidRDefault="004C3F9A" w:rsidP="00F25682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З. Радовић, Љ. Милошевић: Грађевинско-архитектонске конструкције-кровови, Грађевински факултет у Нишу, Ниш, 1997;</w:t>
            </w:r>
          </w:p>
          <w:p w:rsidR="008E2A4D" w:rsidRDefault="004C3F9A" w:rsidP="00F25682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Д. Данчевић: Архитектонске конструкције I, II и III, Заједница завода за заштиту на раду, Ниш, 1970, 1970, 1974;</w:t>
            </w:r>
          </w:p>
          <w:p w:rsidR="008E2A4D" w:rsidRDefault="004C3F9A" w:rsidP="00F25682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  <w:tab w:val="left" w:pos="567"/>
              </w:tabs>
              <w:spacing w:after="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Л. Басарић, Грађевинске конструкције објеката високограднје, Научна кнјига, Београд, 1998.</w:t>
            </w:r>
          </w:p>
        </w:tc>
      </w:tr>
      <w:tr w:rsidR="008E2A4D">
        <w:trPr>
          <w:trHeight w:val="227"/>
          <w:jc w:val="center"/>
        </w:trPr>
        <w:tc>
          <w:tcPr>
            <w:tcW w:w="3146" w:type="dxa"/>
            <w:vAlign w:val="center"/>
          </w:tcPr>
          <w:p w:rsidR="008E2A4D" w:rsidRPr="00EC1037" w:rsidRDefault="004C3F9A" w:rsidP="00F25682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8E2A4D" w:rsidRPr="00EC1037" w:rsidRDefault="004C3F9A" w:rsidP="00F25682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  <w:r w:rsidR="00EC1037">
              <w:rPr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292" w:type="dxa"/>
            <w:gridSpan w:val="2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  <w:r w:rsidR="00EC1037">
              <w:rPr>
                <w:b/>
                <w:sz w:val="20"/>
                <w:szCs w:val="20"/>
                <w:lang w:val="sr-Cyrl-CS"/>
              </w:rPr>
              <w:t xml:space="preserve"> 3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8E2A4D" w:rsidRDefault="004C3F9A" w:rsidP="00F256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8E2A4D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8E2A4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8E2A4D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</w:p>
          <w:p w:rsidR="008E2A4D" w:rsidRPr="00FD6F92" w:rsidRDefault="00FD6F92" w:rsidP="00F25682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4C3F9A">
              <w:rPr>
                <w:sz w:val="20"/>
                <w:szCs w:val="20"/>
                <w:lang w:val="sr-Cyrl-CS"/>
              </w:rPr>
              <w:t>оена</w:t>
            </w:r>
            <w:r>
              <w:rPr>
                <w:sz w:val="20"/>
                <w:szCs w:val="20"/>
                <w:lang w:val="sr-Cyrl-CS"/>
              </w:rPr>
              <w:t xml:space="preserve">  </w:t>
            </w:r>
            <w:r w:rsidRPr="00FD6F92">
              <w:rPr>
                <w:b/>
                <w:sz w:val="20"/>
                <w:szCs w:val="20"/>
                <w:lang w:val="sr-Cyrl-CS"/>
              </w:rPr>
              <w:t>50</w:t>
            </w:r>
          </w:p>
          <w:p w:rsidR="008E2A4D" w:rsidRDefault="008E2A4D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E2A4D" w:rsidRDefault="004C3F9A" w:rsidP="00F25682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E2A4D" w:rsidRPr="00FD6F92" w:rsidRDefault="004C3F9A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FD6F92">
              <w:rPr>
                <w:sz w:val="20"/>
                <w:szCs w:val="20"/>
                <w:lang w:val="sr-Cyrl-CS"/>
              </w:rPr>
              <w:t xml:space="preserve">   </w:t>
            </w:r>
            <w:r w:rsidR="00FD6F92" w:rsidRPr="00FD6F92">
              <w:rPr>
                <w:b/>
                <w:sz w:val="20"/>
                <w:szCs w:val="20"/>
                <w:lang w:val="sr-Cyrl-CS"/>
              </w:rPr>
              <w:t>50</w:t>
            </w:r>
          </w:p>
        </w:tc>
      </w:tr>
      <w:tr w:rsidR="00FD6F92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  <w:r w:rsidRPr="00B16D7C">
              <w:rPr>
                <w:sz w:val="20"/>
                <w:szCs w:val="20"/>
                <w:lang w:val="sr-Cyrl-CS"/>
              </w:rPr>
              <w:t>/усмени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D6F92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FD6F92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  <w:r w:rsidRPr="00B16D7C">
              <w:rPr>
                <w:sz w:val="20"/>
                <w:szCs w:val="20"/>
              </w:rPr>
              <w:t>/колоквијум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FD6F92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 w:rsidRPr="00B16D7C">
              <w:rPr>
                <w:sz w:val="20"/>
                <w:szCs w:val="20"/>
                <w:lang w:val="sr-Cyrl-CS"/>
              </w:rPr>
              <w:t>семестрални/графички радови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FD6F92" w:rsidRDefault="00FD6F92" w:rsidP="00F25682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8E2A4D" w:rsidRDefault="008E2A4D">
      <w:pPr>
        <w:jc w:val="center"/>
        <w:rPr>
          <w:bCs/>
          <w:lang w:val="sr-Cyrl-CS"/>
        </w:rPr>
      </w:pPr>
    </w:p>
    <w:p w:rsidR="008E2A4D" w:rsidRDefault="008E2A4D">
      <w:pPr>
        <w:jc w:val="center"/>
        <w:rPr>
          <w:bCs/>
        </w:rPr>
      </w:pPr>
    </w:p>
    <w:sectPr w:rsidR="008E2A4D" w:rsidSect="00F25682">
      <w:footerReference w:type="default" r:id="rId11"/>
      <w:pgSz w:w="11907" w:h="16840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1E" w:rsidRDefault="002F491E">
      <w:pPr>
        <w:spacing w:after="0" w:line="240" w:lineRule="auto"/>
      </w:pPr>
      <w:r>
        <w:separator/>
      </w:r>
    </w:p>
  </w:endnote>
  <w:endnote w:type="continuationSeparator" w:id="0">
    <w:p w:rsidR="002F491E" w:rsidRDefault="002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4D" w:rsidRDefault="004C3F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238C">
      <w:rPr>
        <w:noProof/>
      </w:rPr>
      <w:t>1</w:t>
    </w:r>
    <w:r>
      <w:fldChar w:fldCharType="end"/>
    </w:r>
  </w:p>
  <w:p w:rsidR="008E2A4D" w:rsidRDefault="008E2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1E" w:rsidRDefault="002F491E">
      <w:pPr>
        <w:spacing w:after="0" w:line="240" w:lineRule="auto"/>
      </w:pPr>
      <w:r>
        <w:separator/>
      </w:r>
    </w:p>
  </w:footnote>
  <w:footnote w:type="continuationSeparator" w:id="0">
    <w:p w:rsidR="002F491E" w:rsidRDefault="002F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5A0056"/>
    <w:multiLevelType w:val="singleLevel"/>
    <w:tmpl w:val="FB5A005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6BA60F82"/>
    <w:multiLevelType w:val="multilevel"/>
    <w:tmpl w:val="6BA60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D3E88"/>
    <w:rsid w:val="000D4C2C"/>
    <w:rsid w:val="00185643"/>
    <w:rsid w:val="00217AA5"/>
    <w:rsid w:val="00245161"/>
    <w:rsid w:val="002F491E"/>
    <w:rsid w:val="00357C95"/>
    <w:rsid w:val="0037541D"/>
    <w:rsid w:val="003D7D7E"/>
    <w:rsid w:val="003E238C"/>
    <w:rsid w:val="003E2A0F"/>
    <w:rsid w:val="00473DA4"/>
    <w:rsid w:val="00491993"/>
    <w:rsid w:val="0049512D"/>
    <w:rsid w:val="004A0BD0"/>
    <w:rsid w:val="004A5365"/>
    <w:rsid w:val="004C3F9A"/>
    <w:rsid w:val="004D04A6"/>
    <w:rsid w:val="00504B9A"/>
    <w:rsid w:val="005162D8"/>
    <w:rsid w:val="00535C05"/>
    <w:rsid w:val="005921EA"/>
    <w:rsid w:val="005A4C35"/>
    <w:rsid w:val="00695869"/>
    <w:rsid w:val="006A4922"/>
    <w:rsid w:val="006E4988"/>
    <w:rsid w:val="0072638E"/>
    <w:rsid w:val="0074215C"/>
    <w:rsid w:val="00771730"/>
    <w:rsid w:val="00785BFE"/>
    <w:rsid w:val="007D526B"/>
    <w:rsid w:val="007E175A"/>
    <w:rsid w:val="007F5D13"/>
    <w:rsid w:val="00817D28"/>
    <w:rsid w:val="00831625"/>
    <w:rsid w:val="0084457E"/>
    <w:rsid w:val="00876D2E"/>
    <w:rsid w:val="008E2A4D"/>
    <w:rsid w:val="009029EB"/>
    <w:rsid w:val="00911748"/>
    <w:rsid w:val="009210E4"/>
    <w:rsid w:val="00990BB1"/>
    <w:rsid w:val="00A023E2"/>
    <w:rsid w:val="00A0662F"/>
    <w:rsid w:val="00A5004B"/>
    <w:rsid w:val="00A5284A"/>
    <w:rsid w:val="00A71BAC"/>
    <w:rsid w:val="00A93E9A"/>
    <w:rsid w:val="00AC0E94"/>
    <w:rsid w:val="00B63774"/>
    <w:rsid w:val="00C351D2"/>
    <w:rsid w:val="00C42611"/>
    <w:rsid w:val="00C502E3"/>
    <w:rsid w:val="00C92B88"/>
    <w:rsid w:val="00CA784F"/>
    <w:rsid w:val="00D50576"/>
    <w:rsid w:val="00D534C1"/>
    <w:rsid w:val="00D56D22"/>
    <w:rsid w:val="00D87D1F"/>
    <w:rsid w:val="00DB5296"/>
    <w:rsid w:val="00E222BB"/>
    <w:rsid w:val="00E96EB0"/>
    <w:rsid w:val="00EC1037"/>
    <w:rsid w:val="00EF1FF3"/>
    <w:rsid w:val="00F25682"/>
    <w:rsid w:val="00F34AB5"/>
    <w:rsid w:val="00F34ABD"/>
    <w:rsid w:val="00F41627"/>
    <w:rsid w:val="00F75069"/>
    <w:rsid w:val="00FD6F92"/>
    <w:rsid w:val="00FE7DE6"/>
    <w:rsid w:val="00FF5387"/>
    <w:rsid w:val="24B93FAE"/>
    <w:rsid w:val="32E07CDE"/>
    <w:rsid w:val="33E91A70"/>
    <w:rsid w:val="66F10007"/>
    <w:rsid w:val="734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njiga%20nastavnika/50_Kvalifikacije%20nastavnika%20Nastavnik_&#1032;&#1077;&#1083;&#1077;&#1085;&#1072;%20&#1057;&#1072;&#1074;&#1080;&#111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11_K&#1074;&#1072;&#1083;&#1080;&#1092;&#1080;&#1082;&#1072;&#1094;&#1080;&#1112;&#1077;%20&#1085;&#1072;&#1089;&#1090;&#1072;&#1074;&#1085;&#1080;&#1082;&#1072;_&#1044;&#1088;&#1072;&#1075;&#1072;&#1085;%20&#1050;&#1086;&#1089;&#1090;&#1080;&#111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korisnik</cp:lastModifiedBy>
  <cp:revision>8</cp:revision>
  <dcterms:created xsi:type="dcterms:W3CDTF">2020-05-27T07:29:00Z</dcterms:created>
  <dcterms:modified xsi:type="dcterms:W3CDTF">2026-03-21T10:04:00Z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