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Cs/>
          <w:sz w:val="22"/>
          <w:szCs w:val="22"/>
        </w:rPr>
      </w:pPr>
      <w:r>
        <w:rPr>
          <w:b/>
          <w:bCs/>
          <w:sz w:val="24"/>
          <w:szCs w:val="24"/>
        </w:rPr>
        <w:t xml:space="preserve">14. Табела 5.1 </w:t>
      </w:r>
      <w:r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tbl>
      <w:tblPr>
        <w:tblW w:w="485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485"/>
        <w:gridCol w:w="1004"/>
        <w:gridCol w:w="902"/>
        <w:gridCol w:w="1947"/>
        <w:gridCol w:w="85"/>
        <w:gridCol w:w="3049"/>
        <w:gridCol w:w="388"/>
        <w:gridCol w:w="1038"/>
      </w:tblGrid>
      <w:tr>
        <w:trPr/>
        <w:tc>
          <w:tcPr>
            <w:tcW w:w="98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Назив предмета: СТУДИЈСКИ ИСТРАЖИВАЧКИ РАД 1</w:t>
            </w:r>
          </w:p>
        </w:tc>
      </w:tr>
      <w:tr>
        <w:trPr/>
        <w:tc>
          <w:tcPr>
            <w:tcW w:w="98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Наставник или наставници:</w:t>
            </w:r>
          </w:p>
        </w:tc>
      </w:tr>
      <w:tr>
        <w:trPr/>
        <w:tc>
          <w:tcPr>
            <w:tcW w:w="98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Статус предмета: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Обавезни</w:t>
            </w:r>
          </w:p>
        </w:tc>
      </w:tr>
      <w:tr>
        <w:trPr/>
        <w:tc>
          <w:tcPr>
            <w:tcW w:w="98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Број ЕСПБ: </w:t>
            </w:r>
            <w:r>
              <w:rPr>
                <w:bCs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98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Услов:</w:t>
            </w:r>
            <w:r>
              <w:rPr>
                <w:bCs/>
                <w:sz w:val="22"/>
                <w:szCs w:val="22"/>
              </w:rPr>
              <w:t xml:space="preserve"> Нема</w:t>
            </w:r>
          </w:p>
        </w:tc>
      </w:tr>
      <w:tr>
        <w:trPr/>
        <w:tc>
          <w:tcPr>
            <w:tcW w:w="98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Циљ предмета</w:t>
            </w:r>
          </w:p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  <w:lang w:eastAsia="en-US"/>
              </w:rPr>
              <w:t>Примена основних, теоријско-методолошких, научно-стручних и стручно-апликативних знања и метода на решавању конкретних проблема у оквиру м</w:t>
            </w:r>
            <w:r>
              <w:rPr>
                <w:rFonts w:eastAsia="ArialMT"/>
                <w:sz w:val="22"/>
                <w:szCs w:val="22"/>
                <w:lang w:eastAsia="en-US"/>
              </w:rPr>
              <w:t>aтeр</w:t>
            </w:r>
            <w:r>
              <w:rPr>
                <w:rFonts w:eastAsia="ArialMT"/>
                <w:sz w:val="22"/>
                <w:szCs w:val="22"/>
                <w:lang w:eastAsia="en-US"/>
              </w:rPr>
              <w:t>и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jaлa </w:t>
            </w:r>
            <w:r>
              <w:rPr>
                <w:rFonts w:eastAsia="ArialMT"/>
                <w:sz w:val="22"/>
                <w:szCs w:val="22"/>
                <w:lang w:eastAsia="en-US"/>
              </w:rPr>
              <w:t>и к</w:t>
            </w:r>
            <w:r>
              <w:rPr>
                <w:rFonts w:eastAsia="ArialMT"/>
                <w:sz w:val="22"/>
                <w:szCs w:val="22"/>
                <w:lang w:eastAsia="en-US"/>
              </w:rPr>
              <w:t>o</w:t>
            </w:r>
            <w:r>
              <w:rPr>
                <w:rFonts w:eastAsia="ArialMT"/>
                <w:sz w:val="22"/>
                <w:szCs w:val="22"/>
                <w:lang w:eastAsia="en-US"/>
              </w:rPr>
              <w:t>нстру</w:t>
            </w:r>
            <w:r>
              <w:rPr>
                <w:rFonts w:eastAsia="ArialMT"/>
                <w:sz w:val="22"/>
                <w:szCs w:val="22"/>
                <w:lang w:eastAsia="en-US"/>
              </w:rPr>
              <w:t>к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>циj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>a</w:t>
            </w:r>
            <w:r>
              <w:rPr>
                <w:rFonts w:eastAsia="ArialMT"/>
                <w:sz w:val="22"/>
                <w:szCs w:val="22"/>
                <w:lang w:eastAsia="en-US"/>
              </w:rPr>
              <w:t>. Проучавајући литературу студент се упознаје са методама које су намењене за креативно решавање нових задатака и инжењерском праксом у њиховом решавању. Циљ активности студената у оквиру овог дела истраживања огледа се у стицању неопходних искустава кроз решавања комплексних проблема и задатака и препознавање могућности за примену претходно стечених знања у пракси.</w:t>
            </w:r>
          </w:p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8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  <w:lang w:eastAsia="en-US"/>
              </w:rPr>
              <w:t xml:space="preserve">Оспособљавање студената да самостално примењују претходно стечена знања из различитих подручја које су претходно изучавали, ради сагледавања структуре задатог проблема и његовој системској анализи у циљу извођења закључака о могућим правцима његовог решавања. Кроз самостално коришћење литературе, студенти проширују знања из изабраног подручја и проучавају различите методе и радове који се односе на сличну проблематику. Крајњи исход је публиковање рада на међународној конференцији.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8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Садржај предмета</w:t>
            </w:r>
          </w:p>
          <w:p>
            <w:pPr>
              <w:pStyle w:val="Normal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  <w:lang w:eastAsia="en-US"/>
              </w:rPr>
              <w:t>Формира се појединачно у складу са студентовим интересима и будућим потребама при изради конкретне докторске дисертације, његове сложености и структуре. Студент се упућује на проучавање конкретне стручне литературе везане за област проучавања.</w:t>
            </w:r>
          </w:p>
          <w:p>
            <w:pPr>
              <w:pStyle w:val="Normal"/>
              <w:rPr>
                <w:sz w:val="22"/>
                <w:szCs w:val="22"/>
              </w:rPr>
            </w:pPr>
            <w:bookmarkStart w:id="0" w:name="_GoBack"/>
            <w:bookmarkStart w:id="1" w:name="_GoBack"/>
            <w:bookmarkEnd w:id="1"/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8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Препоручена литература </w:t>
            </w:r>
          </w:p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4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Број часова </w:t>
            </w:r>
            <w:r>
              <w:rPr>
                <w:b/>
              </w:rPr>
              <w:t xml:space="preserve"> активне наставе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/>
              <w:t>Остали часови</w:t>
            </w:r>
          </w:p>
        </w:tc>
      </w:tr>
      <w:tr>
        <w:trPr/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Предавања: 0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Вежбе: 0</w:t>
            </w:r>
          </w:p>
        </w:tc>
        <w:tc>
          <w:tcPr>
            <w:tcW w:w="2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Други облици наставе: 0</w:t>
            </w:r>
          </w:p>
        </w:tc>
        <w:tc>
          <w:tcPr>
            <w:tcW w:w="3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Студијски истраживачки рад: 9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426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8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/>
              <w:jc w:val="both"/>
              <w:rPr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  <w:lang w:eastAsia="en-US"/>
              </w:rPr>
              <w:t>У оквиру студијског истраживачког рада студент обавља консултације са ментором, а по потреби и са другим наставницима који се баве проблематиком из области теме самог рада. У оквиру задате теме истраживачког рада, студент по потреби врши и одређена мерења, испитивања, бројања, анкете и друга истраживања, статистичку обраду података.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8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</w:tc>
      </w:tr>
      <w:tr>
        <w:trPr/>
        <w:tc>
          <w:tcPr>
            <w:tcW w:w="33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/>
                <w:iCs/>
              </w:rPr>
              <w:t>Предиспитне обавезе</w:t>
            </w: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поена</w:t>
            </w:r>
          </w:p>
        </w:tc>
        <w:tc>
          <w:tcPr>
            <w:tcW w:w="34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 xml:space="preserve">Завршни испит 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iCs/>
              </w:rPr>
            </w:pPr>
            <w:r>
              <w:rPr>
                <w:b/>
                <w:iCs/>
              </w:rPr>
              <w:t>поена</w:t>
            </w:r>
          </w:p>
        </w:tc>
      </w:tr>
      <w:tr>
        <w:trPr/>
        <w:tc>
          <w:tcPr>
            <w:tcW w:w="33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  <w:iCs/>
              </w:rPr>
            </w:pPr>
            <w:r>
              <w:rPr/>
              <w:t>активност у току предавања</w:t>
            </w: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4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  <w:iCs/>
              </w:rPr>
            </w:pPr>
            <w:r>
              <w:rPr/>
              <w:t>писмени испит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33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  <w:iCs/>
              </w:rPr>
            </w:pPr>
            <w:r>
              <w:rPr/>
              <w:t>практична настава</w:t>
            </w: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4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  <w:iCs/>
              </w:rPr>
            </w:pPr>
            <w:r>
              <w:rPr/>
              <w:t>усмени испит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iCs/>
              </w:rPr>
            </w:pPr>
            <w:r>
              <w:rPr>
                <w:b/>
                <w:iCs/>
              </w:rPr>
              <w:t>50</w:t>
            </w:r>
          </w:p>
        </w:tc>
      </w:tr>
      <w:tr>
        <w:trPr/>
        <w:tc>
          <w:tcPr>
            <w:tcW w:w="33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  <w:iCs/>
              </w:rPr>
            </w:pPr>
            <w:r>
              <w:rPr/>
              <w:t>колоквијум-и</w:t>
            </w: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4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>..........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33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семинарски рад</w:t>
            </w: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34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5336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sr-Latn-CS" w:eastAsia="sr-Latn-C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75336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Application>LibreOffice/5.0.6.3$Linux_x86 LibreOffice_project/00m0$Build-3</Application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2013-12-25T23:09:00Z</dcterms:created>
  <dc:creator>GAF NI</dc:creator>
  <dc:language>en-US</dc:language>
  <cp:lastPrinted>2013-07-18T08:39:00Z</cp:lastPrinted>
  <dcterms:modified xsi:type="dcterms:W3CDTF">2018-12-11T13:51:48Z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